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9351" w:type="dxa"/>
        <w:tblLook w:val="04A0" w:firstRow="1" w:lastRow="0" w:firstColumn="1" w:lastColumn="0" w:noHBand="0" w:noVBand="1"/>
      </w:tblPr>
      <w:tblGrid>
        <w:gridCol w:w="360"/>
        <w:gridCol w:w="7290"/>
        <w:gridCol w:w="1701"/>
      </w:tblGrid>
      <w:tr w:rsidR="00147B77" w:rsidRPr="00147B77" w14:paraId="2CA285C3" w14:textId="77777777" w:rsidTr="00D03953">
        <w:tc>
          <w:tcPr>
            <w:tcW w:w="7650" w:type="dxa"/>
            <w:gridSpan w:val="2"/>
          </w:tcPr>
          <w:p w14:paraId="75937CF9" w14:textId="77777777" w:rsidR="00147B77" w:rsidRPr="00147B77" w:rsidRDefault="00147B77" w:rsidP="00147B77">
            <w:pPr>
              <w:spacing w:after="160" w:line="259" w:lineRule="auto"/>
              <w:jc w:val="center"/>
              <w:rPr>
                <w:rFonts w:eastAsia="Calibri"/>
                <w:b/>
                <w:bCs/>
                <w:i/>
                <w:iCs/>
                <w:sz w:val="24"/>
                <w:szCs w:val="24"/>
              </w:rPr>
            </w:pPr>
            <w:r w:rsidRPr="00147B77">
              <w:rPr>
                <w:rFonts w:eastAsia="Calibri"/>
                <w:b/>
                <w:bCs/>
                <w:i/>
                <w:iCs/>
                <w:sz w:val="24"/>
                <w:szCs w:val="24"/>
              </w:rPr>
              <w:t>Criteriul de selectie</w:t>
            </w:r>
          </w:p>
        </w:tc>
        <w:tc>
          <w:tcPr>
            <w:tcW w:w="1701" w:type="dxa"/>
          </w:tcPr>
          <w:p w14:paraId="362E6341"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Punctaj maxim</w:t>
            </w:r>
          </w:p>
        </w:tc>
      </w:tr>
      <w:tr w:rsidR="00147B77" w:rsidRPr="00147B77" w14:paraId="0FAC4C6C" w14:textId="77777777" w:rsidTr="00D03953">
        <w:tc>
          <w:tcPr>
            <w:tcW w:w="7650" w:type="dxa"/>
            <w:gridSpan w:val="2"/>
          </w:tcPr>
          <w:p w14:paraId="71F258D0"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 xml:space="preserve">1. Capacitatea profesională si financiară </w:t>
            </w:r>
          </w:p>
        </w:tc>
        <w:tc>
          <w:tcPr>
            <w:tcW w:w="1701" w:type="dxa"/>
          </w:tcPr>
          <w:p w14:paraId="79460EA2"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40 puncte</w:t>
            </w:r>
          </w:p>
        </w:tc>
      </w:tr>
      <w:tr w:rsidR="00147B77" w:rsidRPr="00147B77" w14:paraId="020E757E" w14:textId="77777777" w:rsidTr="00D03953">
        <w:tc>
          <w:tcPr>
            <w:tcW w:w="360" w:type="dxa"/>
          </w:tcPr>
          <w:p w14:paraId="5FFC908B" w14:textId="77777777" w:rsidR="00147B77" w:rsidRPr="00147B77" w:rsidRDefault="00147B77" w:rsidP="00147B77">
            <w:pPr>
              <w:spacing w:after="160" w:line="259" w:lineRule="auto"/>
              <w:jc w:val="both"/>
              <w:rPr>
                <w:rFonts w:eastAsia="Calibri"/>
                <w:sz w:val="24"/>
                <w:szCs w:val="24"/>
              </w:rPr>
            </w:pPr>
          </w:p>
        </w:tc>
        <w:tc>
          <w:tcPr>
            <w:tcW w:w="7290" w:type="dxa"/>
          </w:tcPr>
          <w:p w14:paraId="7741FF02"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1.1 Resurse umane:</w:t>
            </w:r>
          </w:p>
        </w:tc>
        <w:tc>
          <w:tcPr>
            <w:tcW w:w="1701" w:type="dxa"/>
          </w:tcPr>
          <w:p w14:paraId="39E0D9C0"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10 puncte</w:t>
            </w:r>
          </w:p>
        </w:tc>
      </w:tr>
      <w:tr w:rsidR="00147B77" w:rsidRPr="00147B77" w14:paraId="2A59E61F" w14:textId="77777777" w:rsidTr="00D03953">
        <w:trPr>
          <w:trHeight w:val="1050"/>
        </w:trPr>
        <w:tc>
          <w:tcPr>
            <w:tcW w:w="360" w:type="dxa"/>
            <w:vMerge w:val="restart"/>
          </w:tcPr>
          <w:p w14:paraId="7FBE14F9" w14:textId="77777777" w:rsidR="00147B77" w:rsidRPr="00147B77" w:rsidRDefault="00147B77" w:rsidP="00147B77">
            <w:pPr>
              <w:spacing w:after="160" w:line="259" w:lineRule="auto"/>
              <w:jc w:val="both"/>
              <w:rPr>
                <w:rFonts w:eastAsia="Calibri"/>
                <w:sz w:val="24"/>
                <w:szCs w:val="24"/>
              </w:rPr>
            </w:pPr>
          </w:p>
        </w:tc>
        <w:tc>
          <w:tcPr>
            <w:tcW w:w="7290" w:type="dxa"/>
          </w:tcPr>
          <w:p w14:paraId="3A378920"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1.1.1. —Un expert — cheie propus pentru functia de Coordonator proiect din partea partenerului cu experientță relevantă pentru domeniul şi complexitatea proiectului (doar experti cu studii superioare)</w:t>
            </w:r>
          </w:p>
          <w:p w14:paraId="7F9453FB"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Nivel minim (expertul propus are experientă relevantă pentru functia în care, este propus între 6 luni şi 1 an) — 3 puncte</w:t>
            </w:r>
          </w:p>
          <w:p w14:paraId="7866CFB2"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Nivel mediu (expertul propus are experiență relevantă pentru functia în care este propus între 1-3 ani) — 6 puncte</w:t>
            </w:r>
          </w:p>
          <w:p w14:paraId="1B3AE843"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Nivel înalt (expertul propus are experineta relevantă pentru functia în care este propus, de peste 3 ani) — 10 puncte</w:t>
            </w:r>
          </w:p>
          <w:p w14:paraId="3DED0AE9"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 va analiza CV Coordonator proiect, insotit de documente suport care atestă educatia și experienta (diplome, certificate, adeverinte, contracte de muncă, fişe de post, dispozitii de numire în functie de coordonator/manager în proiect, recomandări din partea partenerilor din care să reiasă denumirea proiectului si functia detinuta de cel propus coordonator pentru proiect).</w:t>
            </w:r>
          </w:p>
        </w:tc>
        <w:tc>
          <w:tcPr>
            <w:tcW w:w="1701" w:type="dxa"/>
          </w:tcPr>
          <w:p w14:paraId="49C86BCE" w14:textId="77777777" w:rsidR="00147B77" w:rsidRPr="00147B77" w:rsidRDefault="00147B77" w:rsidP="00147B77">
            <w:pPr>
              <w:spacing w:after="160" w:line="259" w:lineRule="auto"/>
              <w:jc w:val="both"/>
              <w:rPr>
                <w:rFonts w:eastAsia="Calibri"/>
                <w:sz w:val="24"/>
                <w:szCs w:val="24"/>
              </w:rPr>
            </w:pPr>
          </w:p>
          <w:p w14:paraId="28DC8B8A" w14:textId="77777777" w:rsidR="00147B77" w:rsidRPr="00147B77" w:rsidRDefault="00147B77" w:rsidP="00147B77">
            <w:pPr>
              <w:spacing w:after="160" w:line="259" w:lineRule="auto"/>
              <w:jc w:val="both"/>
              <w:rPr>
                <w:rFonts w:eastAsia="Calibri"/>
                <w:sz w:val="24"/>
                <w:szCs w:val="24"/>
              </w:rPr>
            </w:pPr>
          </w:p>
          <w:p w14:paraId="2FE1EE79" w14:textId="77777777" w:rsidR="00147B77" w:rsidRPr="00147B77" w:rsidRDefault="00147B77" w:rsidP="00147B77">
            <w:pPr>
              <w:spacing w:after="160" w:line="259" w:lineRule="auto"/>
              <w:jc w:val="both"/>
              <w:rPr>
                <w:rFonts w:eastAsia="Calibri"/>
                <w:sz w:val="24"/>
                <w:szCs w:val="24"/>
              </w:rPr>
            </w:pPr>
          </w:p>
          <w:p w14:paraId="09865A6C" w14:textId="77777777" w:rsidR="00147B77" w:rsidRPr="00147B77" w:rsidRDefault="00147B77" w:rsidP="00147B77">
            <w:pPr>
              <w:spacing w:after="160" w:line="259" w:lineRule="auto"/>
              <w:jc w:val="both"/>
              <w:rPr>
                <w:rFonts w:eastAsia="Calibri"/>
                <w:sz w:val="24"/>
                <w:szCs w:val="24"/>
              </w:rPr>
            </w:pPr>
          </w:p>
          <w:p w14:paraId="02479923" w14:textId="77777777" w:rsidR="00147B77" w:rsidRPr="00147B77" w:rsidRDefault="00147B77" w:rsidP="00147B77">
            <w:pPr>
              <w:spacing w:after="160" w:line="259" w:lineRule="auto"/>
              <w:jc w:val="both"/>
              <w:rPr>
                <w:rFonts w:eastAsia="Calibri"/>
                <w:sz w:val="24"/>
                <w:szCs w:val="24"/>
              </w:rPr>
            </w:pPr>
          </w:p>
          <w:p w14:paraId="0FCA7429" w14:textId="77777777" w:rsidR="00147B77" w:rsidRPr="00147B77" w:rsidRDefault="00147B77" w:rsidP="00147B77">
            <w:pPr>
              <w:spacing w:after="160" w:line="259" w:lineRule="auto"/>
              <w:jc w:val="both"/>
              <w:rPr>
                <w:rFonts w:eastAsia="Calibri"/>
                <w:sz w:val="24"/>
                <w:szCs w:val="24"/>
              </w:rPr>
            </w:pPr>
          </w:p>
          <w:p w14:paraId="64D71552"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10 puncte</w:t>
            </w:r>
          </w:p>
        </w:tc>
      </w:tr>
      <w:tr w:rsidR="00147B77" w:rsidRPr="00147B77" w14:paraId="6132AB14" w14:textId="77777777" w:rsidTr="00D03953">
        <w:trPr>
          <w:trHeight w:val="465"/>
        </w:trPr>
        <w:tc>
          <w:tcPr>
            <w:tcW w:w="360" w:type="dxa"/>
            <w:vMerge/>
          </w:tcPr>
          <w:p w14:paraId="55DE0C5A" w14:textId="77777777" w:rsidR="00147B77" w:rsidRPr="00147B77" w:rsidRDefault="00147B77" w:rsidP="00147B77">
            <w:pPr>
              <w:spacing w:after="160" w:line="259" w:lineRule="auto"/>
              <w:jc w:val="both"/>
              <w:rPr>
                <w:rFonts w:eastAsia="Calibri"/>
                <w:sz w:val="24"/>
                <w:szCs w:val="24"/>
              </w:rPr>
            </w:pPr>
          </w:p>
        </w:tc>
        <w:tc>
          <w:tcPr>
            <w:tcW w:w="7290" w:type="dxa"/>
          </w:tcPr>
          <w:p w14:paraId="428CB169"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1.2 Capacitate financiară</w:t>
            </w:r>
          </w:p>
        </w:tc>
        <w:tc>
          <w:tcPr>
            <w:tcW w:w="1701" w:type="dxa"/>
          </w:tcPr>
          <w:p w14:paraId="2A7EE562"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30 puncte</w:t>
            </w:r>
          </w:p>
        </w:tc>
      </w:tr>
      <w:tr w:rsidR="00147B77" w:rsidRPr="00147B77" w14:paraId="5A2658EF" w14:textId="77777777" w:rsidTr="00D03953">
        <w:trPr>
          <w:trHeight w:val="1252"/>
        </w:trPr>
        <w:tc>
          <w:tcPr>
            <w:tcW w:w="360" w:type="dxa"/>
            <w:vMerge/>
          </w:tcPr>
          <w:p w14:paraId="6FDA0D3B" w14:textId="77777777" w:rsidR="00147B77" w:rsidRPr="00147B77" w:rsidRDefault="00147B77" w:rsidP="00147B77">
            <w:pPr>
              <w:spacing w:after="160" w:line="259" w:lineRule="auto"/>
              <w:jc w:val="both"/>
              <w:rPr>
                <w:rFonts w:eastAsia="Calibri"/>
                <w:sz w:val="24"/>
                <w:szCs w:val="24"/>
              </w:rPr>
            </w:pPr>
          </w:p>
        </w:tc>
        <w:tc>
          <w:tcPr>
            <w:tcW w:w="7290" w:type="dxa"/>
          </w:tcPr>
          <w:p w14:paraId="1B3A9103"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1.2.1. Situatia financiară (suma veniturilor in ultimii 4 ani)</w:t>
            </w:r>
          </w:p>
          <w:p w14:paraId="30D9EE3E"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Până la 1 000 000 lei — 10 puncte</w:t>
            </w:r>
          </w:p>
          <w:p w14:paraId="3395854F"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Între 1 000 000 lei si 2 000 000 lei — 15 puncte</w:t>
            </w:r>
          </w:p>
          <w:p w14:paraId="0A27F7CD"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Peste 3 000 000 lei — 20 puncte</w:t>
            </w:r>
          </w:p>
          <w:p w14:paraId="3A5A2D9E"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 vor analiza bilanțurile contabile pentru anii 2024, 2023, 2022, 2021</w:t>
            </w:r>
          </w:p>
        </w:tc>
        <w:tc>
          <w:tcPr>
            <w:tcW w:w="1701" w:type="dxa"/>
          </w:tcPr>
          <w:p w14:paraId="3094DE71"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20 puncte</w:t>
            </w:r>
          </w:p>
        </w:tc>
      </w:tr>
      <w:tr w:rsidR="00147B77" w:rsidRPr="00147B77" w14:paraId="5888C0C4" w14:textId="77777777" w:rsidTr="00D03953">
        <w:trPr>
          <w:trHeight w:val="1485"/>
        </w:trPr>
        <w:tc>
          <w:tcPr>
            <w:tcW w:w="360" w:type="dxa"/>
            <w:vMerge/>
          </w:tcPr>
          <w:p w14:paraId="0C2EB865" w14:textId="77777777" w:rsidR="00147B77" w:rsidRPr="00147B77" w:rsidRDefault="00147B77" w:rsidP="00147B77">
            <w:pPr>
              <w:spacing w:after="160" w:line="259" w:lineRule="auto"/>
              <w:jc w:val="both"/>
              <w:rPr>
                <w:rFonts w:eastAsia="Calibri"/>
                <w:sz w:val="24"/>
                <w:szCs w:val="24"/>
              </w:rPr>
            </w:pPr>
          </w:p>
        </w:tc>
        <w:tc>
          <w:tcPr>
            <w:tcW w:w="7290" w:type="dxa"/>
          </w:tcPr>
          <w:p w14:paraId="7764BFEC"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1.2.2. Resursele materiale puse la dispozitie</w:t>
            </w:r>
          </w:p>
          <w:p w14:paraId="6F23BAA4"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Echipamente IT - 3 puncte</w:t>
            </w:r>
          </w:p>
          <w:p w14:paraId="48BC13CC"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Sedii pentru derularea  activitatilor din proiect - 2 puncte</w:t>
            </w:r>
          </w:p>
          <w:p w14:paraId="72505A70"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lastRenderedPageBreak/>
              <w:t>Mijloace de transport - 3 puncte</w:t>
            </w:r>
          </w:p>
          <w:p w14:paraId="0FAA7905"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Mobilier- 2 puncte</w:t>
            </w:r>
          </w:p>
        </w:tc>
        <w:tc>
          <w:tcPr>
            <w:tcW w:w="1701" w:type="dxa"/>
          </w:tcPr>
          <w:p w14:paraId="19F171E3"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lastRenderedPageBreak/>
              <w:t>10 puncte</w:t>
            </w:r>
          </w:p>
          <w:p w14:paraId="5EAAC65D" w14:textId="77777777" w:rsidR="00147B77" w:rsidRPr="00147B77" w:rsidRDefault="00147B77" w:rsidP="00147B77">
            <w:pPr>
              <w:spacing w:after="160" w:line="259" w:lineRule="auto"/>
              <w:jc w:val="both"/>
              <w:rPr>
                <w:rFonts w:eastAsia="Calibri"/>
                <w:sz w:val="24"/>
                <w:szCs w:val="24"/>
              </w:rPr>
            </w:pPr>
          </w:p>
        </w:tc>
      </w:tr>
      <w:tr w:rsidR="00147B77" w:rsidRPr="00147B77" w14:paraId="4B8C0A76" w14:textId="77777777" w:rsidTr="00D03953">
        <w:trPr>
          <w:trHeight w:val="435"/>
        </w:trPr>
        <w:tc>
          <w:tcPr>
            <w:tcW w:w="7650" w:type="dxa"/>
            <w:gridSpan w:val="2"/>
          </w:tcPr>
          <w:p w14:paraId="1157F706"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Capacitatea operatională</w:t>
            </w:r>
          </w:p>
        </w:tc>
        <w:tc>
          <w:tcPr>
            <w:tcW w:w="1701" w:type="dxa"/>
          </w:tcPr>
          <w:p w14:paraId="76AC5028"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60 puncte</w:t>
            </w:r>
          </w:p>
        </w:tc>
      </w:tr>
      <w:tr w:rsidR="00147B77" w:rsidRPr="00147B77" w14:paraId="07FC3914" w14:textId="77777777" w:rsidTr="00D03953">
        <w:trPr>
          <w:trHeight w:val="1485"/>
        </w:trPr>
        <w:tc>
          <w:tcPr>
            <w:tcW w:w="360" w:type="dxa"/>
            <w:vMerge w:val="restart"/>
          </w:tcPr>
          <w:p w14:paraId="567A3B7D" w14:textId="77777777" w:rsidR="00147B77" w:rsidRPr="00147B77" w:rsidRDefault="00147B77" w:rsidP="00147B77">
            <w:pPr>
              <w:spacing w:after="160" w:line="259" w:lineRule="auto"/>
              <w:jc w:val="both"/>
              <w:rPr>
                <w:rFonts w:eastAsia="Calibri"/>
                <w:sz w:val="24"/>
                <w:szCs w:val="24"/>
              </w:rPr>
            </w:pPr>
          </w:p>
        </w:tc>
        <w:tc>
          <w:tcPr>
            <w:tcW w:w="7290" w:type="dxa"/>
          </w:tcPr>
          <w:p w14:paraId="2A491675"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2.1. Capacitatea de a furniza servicii de îngrijire la domiciliu sau servicii conexe pentru persoane vârstnice sau persoane aflate în dificultate. Minimum 12 luni de experienţă relevantă în furnizarea de servicii sociale pentru persoane vârstnice sau alte categorii vulnerabile.</w:t>
            </w:r>
          </w:p>
          <w:p w14:paraId="50EF5D7F"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are experienta de minimum 6 luni în domeniul furnizării de</w:t>
            </w:r>
          </w:p>
          <w:p w14:paraId="09E2A68F"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servicii sociale — 5 puncte</w:t>
            </w:r>
          </w:p>
          <w:p w14:paraId="571C721F"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are experienta de minimum l an în domeniul furnizării de</w:t>
            </w:r>
          </w:p>
          <w:p w14:paraId="7952F59C"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servicii sociale — 10 puncte</w:t>
            </w:r>
          </w:p>
          <w:p w14:paraId="7EA56684"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are experiență de minimum 3 ani în domeniul furnizării de</w:t>
            </w:r>
          </w:p>
          <w:p w14:paraId="2A5AD81B"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servicii sociale — 15 puncte</w:t>
            </w:r>
          </w:p>
          <w:p w14:paraId="7A214AEA"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are experiență de minimum 5 ani în domeniul furnizării de</w:t>
            </w:r>
          </w:p>
          <w:p w14:paraId="6A43DB4E"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servicii sociale — 20 puncte</w:t>
            </w:r>
          </w:p>
          <w:p w14:paraId="4841398B"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 vor analiza Statutul (si Actul constitutiv, după caz) si Certificatul</w:t>
            </w:r>
          </w:p>
          <w:p w14:paraId="09496D28"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de acreditare ca furnizor de servicii sociale</w:t>
            </w:r>
          </w:p>
        </w:tc>
        <w:tc>
          <w:tcPr>
            <w:tcW w:w="1701" w:type="dxa"/>
          </w:tcPr>
          <w:p w14:paraId="60ED3AF8"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20 puncte</w:t>
            </w:r>
          </w:p>
        </w:tc>
      </w:tr>
      <w:tr w:rsidR="00147B77" w:rsidRPr="00147B77" w14:paraId="67FED149" w14:textId="77777777" w:rsidTr="00D03953">
        <w:trPr>
          <w:trHeight w:val="1485"/>
        </w:trPr>
        <w:tc>
          <w:tcPr>
            <w:tcW w:w="360" w:type="dxa"/>
            <w:vMerge/>
          </w:tcPr>
          <w:p w14:paraId="722666D7" w14:textId="77777777" w:rsidR="00147B77" w:rsidRPr="00147B77" w:rsidRDefault="00147B77" w:rsidP="00147B77">
            <w:pPr>
              <w:spacing w:after="160" w:line="259" w:lineRule="auto"/>
              <w:jc w:val="both"/>
              <w:rPr>
                <w:rFonts w:eastAsia="Calibri"/>
                <w:sz w:val="24"/>
                <w:szCs w:val="24"/>
              </w:rPr>
            </w:pPr>
          </w:p>
        </w:tc>
        <w:tc>
          <w:tcPr>
            <w:tcW w:w="7290" w:type="dxa"/>
          </w:tcPr>
          <w:p w14:paraId="4644373F"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2.2. Experienta în domeniul accesării de fonduri nerambursabile</w:t>
            </w:r>
          </w:p>
          <w:p w14:paraId="42085084"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 implementat un proiect cu finantare nerambursabilă</w:t>
            </w:r>
          </w:p>
          <w:p w14:paraId="5405AF9E"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 10 puncte</w:t>
            </w:r>
          </w:p>
          <w:p w14:paraId="792F2E2A"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 implementat între 2 si 4 proiecte cu finantare nerambursabilă — 15 puncte</w:t>
            </w:r>
          </w:p>
          <w:p w14:paraId="220B056F"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a implementat mai mult de 4 proiecte cu finantare</w:t>
            </w:r>
          </w:p>
          <w:p w14:paraId="1BDC36B0"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nerambursabilă — 20 puncte</w:t>
            </w:r>
          </w:p>
          <w:p w14:paraId="6A2ABCBA"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lastRenderedPageBreak/>
              <w:t>*Se va analiza Fisa partenerului (Anexa 2 la Anuntul de participare), care va fi însoțită de Adeverinte/recomandari/rapoarte care dovedească implicarea în proiecte.</w:t>
            </w:r>
          </w:p>
          <w:p w14:paraId="04970DA8" w14:textId="77777777" w:rsidR="00147B77" w:rsidRPr="00147B77" w:rsidRDefault="00147B77" w:rsidP="00147B77">
            <w:pPr>
              <w:spacing w:after="160" w:line="259" w:lineRule="auto"/>
              <w:jc w:val="both"/>
              <w:rPr>
                <w:rFonts w:eastAsia="Calibri"/>
                <w:sz w:val="24"/>
                <w:szCs w:val="24"/>
              </w:rPr>
            </w:pPr>
          </w:p>
        </w:tc>
        <w:tc>
          <w:tcPr>
            <w:tcW w:w="1701" w:type="dxa"/>
          </w:tcPr>
          <w:p w14:paraId="31F39097"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lastRenderedPageBreak/>
              <w:t>20 puncte</w:t>
            </w:r>
          </w:p>
        </w:tc>
      </w:tr>
      <w:tr w:rsidR="00147B77" w:rsidRPr="00147B77" w14:paraId="75361ECB" w14:textId="77777777" w:rsidTr="00D03953">
        <w:trPr>
          <w:trHeight w:val="1266"/>
        </w:trPr>
        <w:tc>
          <w:tcPr>
            <w:tcW w:w="360" w:type="dxa"/>
            <w:vMerge/>
          </w:tcPr>
          <w:p w14:paraId="35AFD4F5" w14:textId="77777777" w:rsidR="00147B77" w:rsidRPr="00147B77" w:rsidRDefault="00147B77" w:rsidP="00147B77">
            <w:pPr>
              <w:spacing w:after="160" w:line="259" w:lineRule="auto"/>
              <w:jc w:val="both"/>
              <w:rPr>
                <w:rFonts w:eastAsia="Calibri"/>
                <w:sz w:val="24"/>
                <w:szCs w:val="24"/>
              </w:rPr>
            </w:pPr>
          </w:p>
        </w:tc>
        <w:tc>
          <w:tcPr>
            <w:tcW w:w="7290" w:type="dxa"/>
          </w:tcPr>
          <w:p w14:paraId="35898303"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2.3. Îndeplinirea cu succes a indicatorilor în operatiunile anterioare</w:t>
            </w:r>
          </w:p>
          <w:p w14:paraId="7773D2EB"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demonstrează că a implementat, în domeniul social operatiuni cu rata de realizare a indicatorilor între 70% şi 80% din tinta/tintele propuse — 5 puncte</w:t>
            </w:r>
          </w:p>
          <w:p w14:paraId="316F707E"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demonstrează că a implementat, în domeniul social, operatiuni cu rata de realizare a indicatorilor între 80% si 90% din tinta/tintele propuse — 10 puncte</w:t>
            </w:r>
          </w:p>
          <w:p w14:paraId="1B3B53A3"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Entitatea demonstrează că a implementat, în domeniul social, operatiuni cu rata de realizare a indicatorilor mai mare de 90% din tinta/tintele propuse — 20 puncte</w:t>
            </w:r>
          </w:p>
          <w:p w14:paraId="4E046117"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*Se va analiza Fisa partenerului (Anexa 2 la Anuntul de participare), care va fi insotită de Adeverinte/recomandari/rapoarte care să</w:t>
            </w:r>
          </w:p>
          <w:p w14:paraId="190D9722"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dovedească atingerea cu succes indicatorilor de realizare.</w:t>
            </w:r>
          </w:p>
        </w:tc>
        <w:tc>
          <w:tcPr>
            <w:tcW w:w="1701" w:type="dxa"/>
          </w:tcPr>
          <w:p w14:paraId="396BBCC8"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20 puncte</w:t>
            </w:r>
          </w:p>
        </w:tc>
      </w:tr>
      <w:tr w:rsidR="00147B77" w:rsidRPr="00147B77" w14:paraId="06387EA4" w14:textId="77777777" w:rsidTr="00D03953">
        <w:trPr>
          <w:trHeight w:val="353"/>
        </w:trPr>
        <w:tc>
          <w:tcPr>
            <w:tcW w:w="360" w:type="dxa"/>
          </w:tcPr>
          <w:p w14:paraId="38483F4B" w14:textId="77777777" w:rsidR="00147B77" w:rsidRPr="00147B77" w:rsidRDefault="00147B77" w:rsidP="00147B77">
            <w:pPr>
              <w:spacing w:after="160" w:line="259" w:lineRule="auto"/>
              <w:jc w:val="both"/>
              <w:rPr>
                <w:rFonts w:eastAsia="Calibri"/>
                <w:sz w:val="24"/>
                <w:szCs w:val="24"/>
              </w:rPr>
            </w:pPr>
          </w:p>
        </w:tc>
        <w:tc>
          <w:tcPr>
            <w:tcW w:w="7290" w:type="dxa"/>
          </w:tcPr>
          <w:p w14:paraId="46B0E94D"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Total</w:t>
            </w:r>
          </w:p>
        </w:tc>
        <w:tc>
          <w:tcPr>
            <w:tcW w:w="1701" w:type="dxa"/>
          </w:tcPr>
          <w:p w14:paraId="0BF30CA3" w14:textId="77777777" w:rsidR="00147B77" w:rsidRPr="00147B77" w:rsidRDefault="00147B77" w:rsidP="00147B77">
            <w:pPr>
              <w:spacing w:after="160" w:line="259" w:lineRule="auto"/>
              <w:jc w:val="both"/>
              <w:rPr>
                <w:rFonts w:eastAsia="Calibri"/>
                <w:sz w:val="24"/>
                <w:szCs w:val="24"/>
              </w:rPr>
            </w:pPr>
            <w:r w:rsidRPr="00147B77">
              <w:rPr>
                <w:rFonts w:eastAsia="Calibri"/>
                <w:sz w:val="24"/>
                <w:szCs w:val="24"/>
              </w:rPr>
              <w:t>100 puncte</w:t>
            </w:r>
          </w:p>
        </w:tc>
      </w:tr>
    </w:tbl>
    <w:p w14:paraId="79DC4E7E"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2D743F8D" w14:textId="5FB6D90A"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lang w:val="ro-RO"/>
          <w14:ligatures w14:val="none"/>
        </w:rPr>
        <w:t>N.B.</w:t>
      </w:r>
      <w:r w:rsidRPr="000460FB">
        <w:rPr>
          <w:rFonts w:eastAsia="Times New Roman"/>
          <w:spacing w:val="-4"/>
          <w:kern w:val="0"/>
          <w:lang w:val="ro-RO"/>
          <w14:ligatures w14:val="none"/>
        </w:rPr>
        <w:t xml:space="preserve"> </w:t>
      </w:r>
      <w:r w:rsidRPr="000460FB">
        <w:rPr>
          <w:rFonts w:eastAsia="Times New Roman"/>
          <w:kern w:val="0"/>
          <w:lang w:val="ro-RO"/>
          <w14:ligatures w14:val="none"/>
        </w:rPr>
        <w:t>Scor</w:t>
      </w:r>
      <w:r w:rsidRPr="000460FB">
        <w:rPr>
          <w:rFonts w:eastAsia="Times New Roman"/>
          <w:spacing w:val="-3"/>
          <w:kern w:val="0"/>
          <w:lang w:val="ro-RO"/>
          <w14:ligatures w14:val="none"/>
        </w:rPr>
        <w:t xml:space="preserve"> </w:t>
      </w:r>
      <w:r w:rsidRPr="000460FB">
        <w:rPr>
          <w:rFonts w:eastAsia="Times New Roman"/>
          <w:kern w:val="0"/>
          <w:lang w:val="ro-RO"/>
          <w14:ligatures w14:val="none"/>
        </w:rPr>
        <w:t>maxim</w:t>
      </w:r>
      <w:r w:rsidRPr="000460FB">
        <w:rPr>
          <w:rFonts w:eastAsia="Times New Roman"/>
          <w:spacing w:val="-3"/>
          <w:kern w:val="0"/>
          <w:lang w:val="ro-RO"/>
          <w14:ligatures w14:val="none"/>
        </w:rPr>
        <w:t xml:space="preserve"> </w:t>
      </w:r>
      <w:r w:rsidRPr="000460FB">
        <w:rPr>
          <w:rFonts w:eastAsia="Times New Roman"/>
          <w:kern w:val="0"/>
          <w:lang w:val="ro-RO"/>
          <w14:ligatures w14:val="none"/>
        </w:rPr>
        <w:t>100</w:t>
      </w:r>
      <w:r w:rsidRPr="000460FB">
        <w:rPr>
          <w:rFonts w:eastAsia="Times New Roman"/>
          <w:spacing w:val="-3"/>
          <w:kern w:val="0"/>
          <w:lang w:val="ro-RO"/>
          <w14:ligatures w14:val="none"/>
        </w:rPr>
        <w:t xml:space="preserve"> </w:t>
      </w:r>
      <w:r w:rsidRPr="000460FB">
        <w:rPr>
          <w:rFonts w:eastAsia="Times New Roman"/>
          <w:kern w:val="0"/>
          <w:lang w:val="ro-RO"/>
          <w14:ligatures w14:val="none"/>
        </w:rPr>
        <w:t>puncte.</w:t>
      </w:r>
    </w:p>
    <w:p w14:paraId="76B0F37E" w14:textId="0B99FC64"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Vor fi declarați admiși candidații care întrunesc un punctaj egal cu sau mai mare 65 de puncte. Vor fi declarați respinși candidații care întrunesc mai puțin de 65 de puncte conform grilei</w:t>
      </w:r>
      <w:r>
        <w:rPr>
          <w:rFonts w:eastAsia="Times New Roman"/>
          <w:kern w:val="0"/>
          <w:sz w:val="24"/>
          <w:szCs w:val="24"/>
          <w:lang w:val="ro-RO"/>
          <w14:ligatures w14:val="none"/>
        </w:rPr>
        <w:t>.</w:t>
      </w:r>
    </w:p>
    <w:p w14:paraId="507A880D" w14:textId="77777777"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13BC428B" w14:textId="7D7A1B69"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În cazul unor punctaje egale, departajarea se va face în funcție de punctajul obținut la criteriul 2.1 din grila de evaluare. În cazul în care egalitatea persistă, departajarea se va face în funcție de</w:t>
      </w:r>
    </w:p>
    <w:p w14:paraId="38519142" w14:textId="77777777" w:rsidR="000460FB" w:rsidRDefault="000460FB" w:rsidP="000460FB">
      <w:pPr>
        <w:shd w:val="clear" w:color="auto" w:fill="FFFFFF"/>
        <w:spacing w:after="120"/>
        <w:ind w:left="180"/>
        <w:contextualSpacing/>
        <w:jc w:val="both"/>
        <w:rPr>
          <w:rFonts w:eastAsia="Times New Roman"/>
          <w:kern w:val="0"/>
          <w:sz w:val="24"/>
          <w:szCs w:val="24"/>
          <w:lang w:val="ro-RO"/>
          <w14:ligatures w14:val="none"/>
        </w:rPr>
      </w:pPr>
      <w:r w:rsidRPr="000460FB">
        <w:rPr>
          <w:rFonts w:eastAsia="Times New Roman"/>
          <w:kern w:val="0"/>
          <w:sz w:val="24"/>
          <w:szCs w:val="24"/>
          <w:lang w:val="ro-RO"/>
          <w14:ligatures w14:val="none"/>
        </w:rPr>
        <w:t>punctajul obținut la crieriul 2.2. În cazul în care egalitatea persistă, departajarea se va face în funcție de punctajul obținut la criteriul 1.1.1.</w:t>
      </w:r>
    </w:p>
    <w:p w14:paraId="79492122"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2C3E64BF" w14:textId="77777777" w:rsidR="000460FB" w:rsidRPr="000460FB" w:rsidRDefault="000460FB" w:rsidP="000460FB">
      <w:pPr>
        <w:shd w:val="clear" w:color="auto" w:fill="FFFFFF"/>
        <w:spacing w:after="120"/>
        <w:ind w:left="180"/>
        <w:contextualSpacing/>
        <w:jc w:val="both"/>
        <w:rPr>
          <w:rFonts w:eastAsia="Times New Roman"/>
          <w:kern w:val="0"/>
          <w:sz w:val="24"/>
          <w:szCs w:val="24"/>
          <w:lang w:val="ro-RO"/>
          <w14:ligatures w14:val="none"/>
        </w:rPr>
      </w:pPr>
    </w:p>
    <w:p w14:paraId="53FDD9AE" w14:textId="77777777" w:rsidR="00225C7B" w:rsidRPr="000460FB" w:rsidRDefault="00225C7B">
      <w:pPr>
        <w:rPr>
          <w:lang w:val="ro-RO"/>
        </w:rPr>
      </w:pPr>
    </w:p>
    <w:sectPr w:rsidR="00225C7B" w:rsidRPr="000460F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FBBEB" w14:textId="77777777" w:rsidR="00CE02D0" w:rsidRDefault="00CE02D0" w:rsidP="000460FB">
      <w:r>
        <w:separator/>
      </w:r>
    </w:p>
  </w:endnote>
  <w:endnote w:type="continuationSeparator" w:id="0">
    <w:p w14:paraId="304EC0D4" w14:textId="77777777" w:rsidR="00CE02D0" w:rsidRDefault="00CE02D0" w:rsidP="00046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6C946" w14:textId="77777777" w:rsidR="00CE02D0" w:rsidRDefault="00CE02D0" w:rsidP="000460FB">
      <w:r>
        <w:separator/>
      </w:r>
    </w:p>
  </w:footnote>
  <w:footnote w:type="continuationSeparator" w:id="0">
    <w:p w14:paraId="26D574BB" w14:textId="77777777" w:rsidR="00CE02D0" w:rsidRDefault="00CE02D0" w:rsidP="00046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DBE00" w14:textId="43E587C7" w:rsidR="000460FB" w:rsidRDefault="000460FB">
    <w:pPr>
      <w:pStyle w:val="Header"/>
      <w:rPr>
        <w:sz w:val="26"/>
        <w:szCs w:val="26"/>
        <w:lang w:val="ro-RO"/>
      </w:rPr>
    </w:pPr>
    <w:r w:rsidRPr="000460FB">
      <w:rPr>
        <w:sz w:val="26"/>
        <w:szCs w:val="26"/>
        <w:lang w:val="ro-RO"/>
      </w:rPr>
      <w:t>Anexa 10</w:t>
    </w:r>
  </w:p>
  <w:p w14:paraId="15CF9F74" w14:textId="77777777" w:rsidR="000460FB" w:rsidRDefault="000460FB">
    <w:pPr>
      <w:pStyle w:val="Header"/>
      <w:rPr>
        <w:sz w:val="26"/>
        <w:szCs w:val="26"/>
        <w:lang w:val="ro-RO"/>
      </w:rPr>
    </w:pPr>
  </w:p>
  <w:p w14:paraId="6320D032" w14:textId="44B2D9EA" w:rsidR="000460FB" w:rsidRDefault="000460FB" w:rsidP="000460FB">
    <w:pPr>
      <w:widowControl w:val="0"/>
      <w:autoSpaceDE w:val="0"/>
      <w:autoSpaceDN w:val="0"/>
      <w:spacing w:before="41" w:line="276" w:lineRule="auto"/>
      <w:ind w:left="4280" w:hanging="4107"/>
      <w:jc w:val="center"/>
      <w:rPr>
        <w:rFonts w:eastAsia="Times New Roman"/>
        <w:b/>
        <w:bCs/>
        <w:spacing w:val="-1"/>
        <w:kern w:val="0"/>
        <w:sz w:val="24"/>
        <w:szCs w:val="24"/>
        <w:lang w:val="ro-RO"/>
        <w14:ligatures w14:val="none"/>
      </w:rPr>
    </w:pPr>
    <w:r>
      <w:rPr>
        <w:rFonts w:eastAsia="Times New Roman"/>
        <w:b/>
        <w:bCs/>
        <w:spacing w:val="-1"/>
        <w:kern w:val="0"/>
        <w:sz w:val="24"/>
        <w:szCs w:val="24"/>
        <w:lang w:val="ro-RO"/>
        <w14:ligatures w14:val="none"/>
      </w:rPr>
      <w:t>GRILA</w:t>
    </w:r>
  </w:p>
  <w:p w14:paraId="770F820C" w14:textId="179C52CA" w:rsidR="000460FB" w:rsidRDefault="000460FB" w:rsidP="000460FB">
    <w:pPr>
      <w:widowControl w:val="0"/>
      <w:autoSpaceDE w:val="0"/>
      <w:autoSpaceDN w:val="0"/>
      <w:spacing w:before="41" w:line="276" w:lineRule="auto"/>
      <w:ind w:left="4280" w:hanging="4107"/>
      <w:jc w:val="center"/>
      <w:rPr>
        <w:rFonts w:eastAsia="Times New Roman"/>
        <w:b/>
        <w:bCs/>
        <w:spacing w:val="-13"/>
        <w:kern w:val="0"/>
        <w:sz w:val="24"/>
        <w:szCs w:val="24"/>
        <w:lang w:val="ro-RO"/>
        <w14:ligatures w14:val="none"/>
      </w:rPr>
    </w:pPr>
    <w:r w:rsidRPr="000460FB">
      <w:rPr>
        <w:rFonts w:eastAsia="Times New Roman"/>
        <w:b/>
        <w:bCs/>
        <w:spacing w:val="-1"/>
        <w:kern w:val="0"/>
        <w:sz w:val="24"/>
        <w:szCs w:val="24"/>
        <w:lang w:val="ro-RO"/>
        <w14:ligatures w14:val="none"/>
      </w:rPr>
      <w:t>PRIVIND</w:t>
    </w:r>
    <w:r w:rsidRPr="000460FB">
      <w:rPr>
        <w:rFonts w:eastAsia="Times New Roman"/>
        <w:b/>
        <w:bCs/>
        <w:spacing w:val="-14"/>
        <w:kern w:val="0"/>
        <w:sz w:val="24"/>
        <w:szCs w:val="24"/>
        <w:lang w:val="ro-RO"/>
        <w14:ligatures w14:val="none"/>
      </w:rPr>
      <w:t xml:space="preserve"> </w:t>
    </w:r>
    <w:r w:rsidRPr="000460FB">
      <w:rPr>
        <w:rFonts w:eastAsia="Times New Roman"/>
        <w:b/>
        <w:bCs/>
        <w:spacing w:val="-1"/>
        <w:kern w:val="0"/>
        <w:sz w:val="24"/>
        <w:szCs w:val="24"/>
        <w:lang w:val="ro-RO"/>
        <w14:ligatures w14:val="none"/>
      </w:rPr>
      <w:t>EVALUAREA</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CAPACITĂȚII</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FINANCIARE,</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TEHNICE</w:t>
    </w:r>
    <w:r w:rsidRPr="000460FB">
      <w:rPr>
        <w:rFonts w:eastAsia="Times New Roman"/>
        <w:b/>
        <w:bCs/>
        <w:spacing w:val="-14"/>
        <w:kern w:val="0"/>
        <w:sz w:val="24"/>
        <w:szCs w:val="24"/>
        <w:lang w:val="ro-RO"/>
        <w14:ligatures w14:val="none"/>
      </w:rPr>
      <w:t xml:space="preserve"> </w:t>
    </w:r>
    <w:r w:rsidRPr="000460FB">
      <w:rPr>
        <w:rFonts w:eastAsia="Times New Roman"/>
        <w:b/>
        <w:bCs/>
        <w:kern w:val="0"/>
        <w:sz w:val="24"/>
        <w:szCs w:val="24"/>
        <w:lang w:val="ro-RO"/>
        <w14:ligatures w14:val="none"/>
      </w:rPr>
      <w:t>ȘI</w:t>
    </w:r>
    <w:r w:rsidRPr="000460FB">
      <w:rPr>
        <w:rFonts w:eastAsia="Times New Roman"/>
        <w:b/>
        <w:bCs/>
        <w:spacing w:val="-12"/>
        <w:kern w:val="0"/>
        <w:sz w:val="24"/>
        <w:szCs w:val="24"/>
        <w:lang w:val="ro-RO"/>
        <w14:ligatures w14:val="none"/>
      </w:rPr>
      <w:t xml:space="preserve"> </w:t>
    </w:r>
    <w:r w:rsidRPr="000460FB">
      <w:rPr>
        <w:rFonts w:eastAsia="Times New Roman"/>
        <w:b/>
        <w:bCs/>
        <w:kern w:val="0"/>
        <w:sz w:val="24"/>
        <w:szCs w:val="24"/>
        <w:lang w:val="ro-RO"/>
        <w14:ligatures w14:val="none"/>
      </w:rPr>
      <w:t>A</w:t>
    </w:r>
  </w:p>
  <w:p w14:paraId="794F7364" w14:textId="3F6EC585" w:rsidR="000460FB" w:rsidRPr="000460FB" w:rsidRDefault="000460FB" w:rsidP="000460FB">
    <w:pPr>
      <w:widowControl w:val="0"/>
      <w:autoSpaceDE w:val="0"/>
      <w:autoSpaceDN w:val="0"/>
      <w:spacing w:before="41" w:line="276" w:lineRule="auto"/>
      <w:ind w:left="4280" w:hanging="4107"/>
      <w:jc w:val="center"/>
      <w:rPr>
        <w:rFonts w:eastAsia="Times New Roman"/>
        <w:b/>
        <w:bCs/>
        <w:kern w:val="0"/>
        <w:sz w:val="24"/>
        <w:szCs w:val="24"/>
        <w:lang w:val="ro-RO"/>
        <w14:ligatures w14:val="none"/>
      </w:rPr>
    </w:pPr>
    <w:r w:rsidRPr="000460FB">
      <w:rPr>
        <w:rFonts w:eastAsia="Times New Roman"/>
        <w:b/>
        <w:bCs/>
        <w:kern w:val="0"/>
        <w:sz w:val="24"/>
        <w:szCs w:val="24"/>
        <w:lang w:val="ro-RO"/>
        <w14:ligatures w14:val="none"/>
      </w:rPr>
      <w:t>PERSONALULUI</w:t>
    </w:r>
    <w:r>
      <w:rPr>
        <w:rFonts w:eastAsia="Times New Roman"/>
        <w:b/>
        <w:bCs/>
        <w:kern w:val="0"/>
        <w:sz w:val="24"/>
        <w:szCs w:val="24"/>
        <w:lang w:val="ro-RO"/>
        <w14:ligatures w14:val="none"/>
      </w:rPr>
      <w:t xml:space="preserve"> </w:t>
    </w:r>
    <w:r w:rsidRPr="000460FB">
      <w:rPr>
        <w:rFonts w:eastAsia="Times New Roman"/>
        <w:b/>
        <w:bCs/>
        <w:spacing w:val="-57"/>
        <w:kern w:val="0"/>
        <w:sz w:val="24"/>
        <w:szCs w:val="24"/>
        <w:lang w:val="ro-RO"/>
        <w14:ligatures w14:val="none"/>
      </w:rPr>
      <w:t xml:space="preserve"> </w:t>
    </w:r>
    <w:r w:rsidRPr="000460FB">
      <w:rPr>
        <w:rFonts w:eastAsia="Times New Roman"/>
        <w:b/>
        <w:bCs/>
        <w:kern w:val="0"/>
        <w:sz w:val="24"/>
        <w:szCs w:val="24"/>
        <w:lang w:val="ro-RO"/>
        <w14:ligatures w14:val="none"/>
      </w:rPr>
      <w:t>CALIFICAT</w:t>
    </w:r>
  </w:p>
  <w:p w14:paraId="74C240A3" w14:textId="77777777" w:rsidR="000460FB" w:rsidRPr="000460FB" w:rsidRDefault="000460FB" w:rsidP="000460FB">
    <w:pPr>
      <w:pStyle w:val="Header"/>
      <w:jc w:val="center"/>
      <w:rPr>
        <w:sz w:val="26"/>
        <w:szCs w:val="26"/>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3B76"/>
    <w:multiLevelType w:val="hybridMultilevel"/>
    <w:tmpl w:val="C67AE0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06329D1"/>
    <w:multiLevelType w:val="multilevel"/>
    <w:tmpl w:val="3B94E63E"/>
    <w:lvl w:ilvl="0">
      <w:start w:val="1"/>
      <w:numFmt w:val="decimal"/>
      <w:lvlText w:val="%1."/>
      <w:lvlJc w:val="left"/>
      <w:pPr>
        <w:ind w:left="847" w:hanging="360"/>
      </w:pPr>
      <w:rPr>
        <w:rFonts w:hint="default"/>
        <w:i/>
      </w:rPr>
    </w:lvl>
    <w:lvl w:ilvl="1">
      <w:start w:val="1"/>
      <w:numFmt w:val="decimal"/>
      <w:isLgl/>
      <w:lvlText w:val="%1.%2."/>
      <w:lvlJc w:val="left"/>
      <w:pPr>
        <w:ind w:left="1027" w:hanging="540"/>
      </w:pPr>
      <w:rPr>
        <w:rFonts w:hint="default"/>
      </w:rPr>
    </w:lvl>
    <w:lvl w:ilvl="2">
      <w:start w:val="1"/>
      <w:numFmt w:val="decimal"/>
      <w:isLgl/>
      <w:lvlText w:val="%1.%2.%3."/>
      <w:lvlJc w:val="left"/>
      <w:pPr>
        <w:ind w:left="1207" w:hanging="720"/>
      </w:pPr>
      <w:rPr>
        <w:rFonts w:hint="default"/>
      </w:rPr>
    </w:lvl>
    <w:lvl w:ilvl="3">
      <w:start w:val="1"/>
      <w:numFmt w:val="decimal"/>
      <w:isLgl/>
      <w:lvlText w:val="%1.%2.%3.%4."/>
      <w:lvlJc w:val="left"/>
      <w:pPr>
        <w:ind w:left="1207" w:hanging="720"/>
      </w:pPr>
      <w:rPr>
        <w:rFonts w:hint="default"/>
      </w:rPr>
    </w:lvl>
    <w:lvl w:ilvl="4">
      <w:start w:val="1"/>
      <w:numFmt w:val="decimal"/>
      <w:isLgl/>
      <w:lvlText w:val="%1.%2.%3.%4.%5."/>
      <w:lvlJc w:val="left"/>
      <w:pPr>
        <w:ind w:left="1567" w:hanging="1080"/>
      </w:pPr>
      <w:rPr>
        <w:rFonts w:hint="default"/>
      </w:rPr>
    </w:lvl>
    <w:lvl w:ilvl="5">
      <w:start w:val="1"/>
      <w:numFmt w:val="decimal"/>
      <w:isLgl/>
      <w:lvlText w:val="%1.%2.%3.%4.%5.%6."/>
      <w:lvlJc w:val="left"/>
      <w:pPr>
        <w:ind w:left="1567" w:hanging="1080"/>
      </w:pPr>
      <w:rPr>
        <w:rFonts w:hint="default"/>
      </w:rPr>
    </w:lvl>
    <w:lvl w:ilvl="6">
      <w:start w:val="1"/>
      <w:numFmt w:val="decimal"/>
      <w:isLgl/>
      <w:lvlText w:val="%1.%2.%3.%4.%5.%6.%7."/>
      <w:lvlJc w:val="left"/>
      <w:pPr>
        <w:ind w:left="1927" w:hanging="1440"/>
      </w:pPr>
      <w:rPr>
        <w:rFonts w:hint="default"/>
      </w:rPr>
    </w:lvl>
    <w:lvl w:ilvl="7">
      <w:start w:val="1"/>
      <w:numFmt w:val="decimal"/>
      <w:isLgl/>
      <w:lvlText w:val="%1.%2.%3.%4.%5.%6.%7.%8."/>
      <w:lvlJc w:val="left"/>
      <w:pPr>
        <w:ind w:left="1927" w:hanging="1440"/>
      </w:pPr>
      <w:rPr>
        <w:rFonts w:hint="default"/>
      </w:rPr>
    </w:lvl>
    <w:lvl w:ilvl="8">
      <w:start w:val="1"/>
      <w:numFmt w:val="decimal"/>
      <w:isLgl/>
      <w:lvlText w:val="%1.%2.%3.%4.%5.%6.%7.%8.%9."/>
      <w:lvlJc w:val="left"/>
      <w:pPr>
        <w:ind w:left="2287" w:hanging="1800"/>
      </w:pPr>
      <w:rPr>
        <w:rFonts w:hint="default"/>
      </w:rPr>
    </w:lvl>
  </w:abstractNum>
  <w:abstractNum w:abstractNumId="2" w15:restartNumberingAfterBreak="0">
    <w:nsid w:val="6F89341E"/>
    <w:multiLevelType w:val="hybridMultilevel"/>
    <w:tmpl w:val="4662B022"/>
    <w:lvl w:ilvl="0" w:tplc="F5985C10">
      <w:start w:val="30"/>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3" w15:restartNumberingAfterBreak="0">
    <w:nsid w:val="797F4692"/>
    <w:multiLevelType w:val="hybridMultilevel"/>
    <w:tmpl w:val="106092F6"/>
    <w:lvl w:ilvl="0" w:tplc="BB3C7FEC">
      <w:start w:val="20"/>
      <w:numFmt w:val="decimal"/>
      <w:lvlText w:val="%1"/>
      <w:lvlJc w:val="left"/>
      <w:pPr>
        <w:ind w:left="847" w:hanging="360"/>
      </w:pPr>
      <w:rPr>
        <w:rFonts w:hint="default"/>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num w:numId="1" w16cid:durableId="1878198668">
    <w:abstractNumId w:val="1"/>
  </w:num>
  <w:num w:numId="2" w16cid:durableId="1444837530">
    <w:abstractNumId w:val="0"/>
  </w:num>
  <w:num w:numId="3" w16cid:durableId="1181701634">
    <w:abstractNumId w:val="3"/>
  </w:num>
  <w:num w:numId="4" w16cid:durableId="1328939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FB"/>
    <w:rsid w:val="00001DA3"/>
    <w:rsid w:val="000460FB"/>
    <w:rsid w:val="000C4923"/>
    <w:rsid w:val="00147B77"/>
    <w:rsid w:val="00187291"/>
    <w:rsid w:val="00191836"/>
    <w:rsid w:val="001F34D0"/>
    <w:rsid w:val="00225C7B"/>
    <w:rsid w:val="002627BE"/>
    <w:rsid w:val="002C35F9"/>
    <w:rsid w:val="002C5D5A"/>
    <w:rsid w:val="00304E98"/>
    <w:rsid w:val="0048266D"/>
    <w:rsid w:val="00497225"/>
    <w:rsid w:val="004A30BC"/>
    <w:rsid w:val="00562BA6"/>
    <w:rsid w:val="0056699C"/>
    <w:rsid w:val="005B24C6"/>
    <w:rsid w:val="005C077B"/>
    <w:rsid w:val="005D0928"/>
    <w:rsid w:val="006075D6"/>
    <w:rsid w:val="006368AA"/>
    <w:rsid w:val="00743DBD"/>
    <w:rsid w:val="007A1FFA"/>
    <w:rsid w:val="007D24A1"/>
    <w:rsid w:val="00877738"/>
    <w:rsid w:val="00882755"/>
    <w:rsid w:val="00A07187"/>
    <w:rsid w:val="00AC1F33"/>
    <w:rsid w:val="00AD1980"/>
    <w:rsid w:val="00AF3AFC"/>
    <w:rsid w:val="00B02468"/>
    <w:rsid w:val="00B17456"/>
    <w:rsid w:val="00B441DF"/>
    <w:rsid w:val="00B67C03"/>
    <w:rsid w:val="00BB4ED0"/>
    <w:rsid w:val="00C6255C"/>
    <w:rsid w:val="00C8450D"/>
    <w:rsid w:val="00CE02D0"/>
    <w:rsid w:val="00D746C2"/>
    <w:rsid w:val="00DA4848"/>
    <w:rsid w:val="00DB7F4C"/>
    <w:rsid w:val="00F04A4C"/>
    <w:rsid w:val="00F82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F3A13"/>
  <w15:chartTrackingRefBased/>
  <w15:docId w15:val="{DBD7AFF5-8F61-4753-A0C1-7B782693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5F9"/>
  </w:style>
  <w:style w:type="paragraph" w:styleId="Heading1">
    <w:name w:val="heading 1"/>
    <w:basedOn w:val="Normal"/>
    <w:next w:val="Normal"/>
    <w:link w:val="Heading1Char"/>
    <w:uiPriority w:val="9"/>
    <w:qFormat/>
    <w:rsid w:val="000460FB"/>
    <w:pPr>
      <w:keepNext/>
      <w:keepLines/>
      <w:spacing w:before="360" w:after="80"/>
      <w:outlineLvl w:val="0"/>
    </w:pPr>
    <w:rPr>
      <w:rFonts w:asciiTheme="majorHAnsi" w:eastAsiaTheme="majorEastAsia" w:hAnsiTheme="majorHAnsi" w:cstheme="majorBidi"/>
      <w:color w:val="7B230B" w:themeColor="accent1" w:themeShade="BF"/>
      <w:sz w:val="40"/>
      <w:szCs w:val="40"/>
    </w:rPr>
  </w:style>
  <w:style w:type="paragraph" w:styleId="Heading2">
    <w:name w:val="heading 2"/>
    <w:basedOn w:val="Normal"/>
    <w:next w:val="Normal"/>
    <w:link w:val="Heading2Char"/>
    <w:uiPriority w:val="9"/>
    <w:semiHidden/>
    <w:unhideWhenUsed/>
    <w:qFormat/>
    <w:rsid w:val="000460FB"/>
    <w:pPr>
      <w:keepNext/>
      <w:keepLines/>
      <w:spacing w:before="160" w:after="80"/>
      <w:outlineLvl w:val="1"/>
    </w:pPr>
    <w:rPr>
      <w:rFonts w:asciiTheme="majorHAnsi" w:eastAsiaTheme="majorEastAsia" w:hAnsiTheme="majorHAnsi" w:cstheme="majorBidi"/>
      <w:color w:val="7B230B" w:themeColor="accent1" w:themeShade="BF"/>
      <w:sz w:val="32"/>
      <w:szCs w:val="32"/>
    </w:rPr>
  </w:style>
  <w:style w:type="paragraph" w:styleId="Heading3">
    <w:name w:val="heading 3"/>
    <w:basedOn w:val="Normal"/>
    <w:next w:val="Normal"/>
    <w:link w:val="Heading3Char"/>
    <w:uiPriority w:val="9"/>
    <w:semiHidden/>
    <w:unhideWhenUsed/>
    <w:qFormat/>
    <w:rsid w:val="000460FB"/>
    <w:pPr>
      <w:keepNext/>
      <w:keepLines/>
      <w:spacing w:before="160" w:after="80"/>
      <w:outlineLvl w:val="2"/>
    </w:pPr>
    <w:rPr>
      <w:rFonts w:asciiTheme="minorHAnsi" w:eastAsiaTheme="majorEastAsia" w:hAnsiTheme="minorHAnsi" w:cstheme="majorBidi"/>
      <w:color w:val="7B230B" w:themeColor="accent1" w:themeShade="BF"/>
      <w:sz w:val="28"/>
      <w:szCs w:val="28"/>
    </w:rPr>
  </w:style>
  <w:style w:type="paragraph" w:styleId="Heading4">
    <w:name w:val="heading 4"/>
    <w:basedOn w:val="Normal"/>
    <w:next w:val="Normal"/>
    <w:link w:val="Heading4Char"/>
    <w:uiPriority w:val="9"/>
    <w:semiHidden/>
    <w:unhideWhenUsed/>
    <w:qFormat/>
    <w:rsid w:val="000460FB"/>
    <w:pPr>
      <w:keepNext/>
      <w:keepLines/>
      <w:spacing w:before="80" w:after="40"/>
      <w:outlineLvl w:val="3"/>
    </w:pPr>
    <w:rPr>
      <w:rFonts w:asciiTheme="minorHAnsi" w:eastAsiaTheme="majorEastAsia" w:hAnsiTheme="minorHAnsi" w:cstheme="majorBidi"/>
      <w:i/>
      <w:iCs/>
      <w:color w:val="7B230B" w:themeColor="accent1" w:themeShade="BF"/>
    </w:rPr>
  </w:style>
  <w:style w:type="paragraph" w:styleId="Heading5">
    <w:name w:val="heading 5"/>
    <w:basedOn w:val="Normal"/>
    <w:next w:val="Normal"/>
    <w:link w:val="Heading5Char"/>
    <w:uiPriority w:val="9"/>
    <w:semiHidden/>
    <w:unhideWhenUsed/>
    <w:qFormat/>
    <w:rsid w:val="000460FB"/>
    <w:pPr>
      <w:keepNext/>
      <w:keepLines/>
      <w:spacing w:before="80" w:after="40"/>
      <w:outlineLvl w:val="4"/>
    </w:pPr>
    <w:rPr>
      <w:rFonts w:asciiTheme="minorHAnsi" w:eastAsiaTheme="majorEastAsia" w:hAnsiTheme="minorHAnsi" w:cstheme="majorBidi"/>
      <w:color w:val="7B230B" w:themeColor="accent1" w:themeShade="BF"/>
    </w:rPr>
  </w:style>
  <w:style w:type="paragraph" w:styleId="Heading6">
    <w:name w:val="heading 6"/>
    <w:basedOn w:val="Normal"/>
    <w:next w:val="Normal"/>
    <w:link w:val="Heading6Char"/>
    <w:uiPriority w:val="9"/>
    <w:semiHidden/>
    <w:unhideWhenUsed/>
    <w:qFormat/>
    <w:rsid w:val="000460F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460F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460F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460F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0FB"/>
    <w:rPr>
      <w:rFonts w:asciiTheme="majorHAnsi" w:eastAsiaTheme="majorEastAsia" w:hAnsiTheme="majorHAnsi" w:cstheme="majorBidi"/>
      <w:color w:val="7B230B" w:themeColor="accent1" w:themeShade="BF"/>
      <w:sz w:val="40"/>
      <w:szCs w:val="40"/>
    </w:rPr>
  </w:style>
  <w:style w:type="character" w:customStyle="1" w:styleId="Heading2Char">
    <w:name w:val="Heading 2 Char"/>
    <w:basedOn w:val="DefaultParagraphFont"/>
    <w:link w:val="Heading2"/>
    <w:uiPriority w:val="9"/>
    <w:semiHidden/>
    <w:rsid w:val="000460FB"/>
    <w:rPr>
      <w:rFonts w:asciiTheme="majorHAnsi" w:eastAsiaTheme="majorEastAsia" w:hAnsiTheme="majorHAnsi" w:cstheme="majorBidi"/>
      <w:color w:val="7B230B" w:themeColor="accent1" w:themeShade="BF"/>
      <w:sz w:val="32"/>
      <w:szCs w:val="32"/>
    </w:rPr>
  </w:style>
  <w:style w:type="character" w:customStyle="1" w:styleId="Heading3Char">
    <w:name w:val="Heading 3 Char"/>
    <w:basedOn w:val="DefaultParagraphFont"/>
    <w:link w:val="Heading3"/>
    <w:uiPriority w:val="9"/>
    <w:semiHidden/>
    <w:rsid w:val="000460FB"/>
    <w:rPr>
      <w:rFonts w:asciiTheme="minorHAnsi" w:eastAsiaTheme="majorEastAsia" w:hAnsiTheme="minorHAnsi" w:cstheme="majorBidi"/>
      <w:color w:val="7B230B" w:themeColor="accent1" w:themeShade="BF"/>
      <w:sz w:val="28"/>
      <w:szCs w:val="28"/>
    </w:rPr>
  </w:style>
  <w:style w:type="character" w:customStyle="1" w:styleId="Heading4Char">
    <w:name w:val="Heading 4 Char"/>
    <w:basedOn w:val="DefaultParagraphFont"/>
    <w:link w:val="Heading4"/>
    <w:uiPriority w:val="9"/>
    <w:semiHidden/>
    <w:rsid w:val="000460FB"/>
    <w:rPr>
      <w:rFonts w:asciiTheme="minorHAnsi" w:eastAsiaTheme="majorEastAsia" w:hAnsiTheme="minorHAnsi" w:cstheme="majorBidi"/>
      <w:i/>
      <w:iCs/>
      <w:color w:val="7B230B" w:themeColor="accent1" w:themeShade="BF"/>
    </w:rPr>
  </w:style>
  <w:style w:type="character" w:customStyle="1" w:styleId="Heading5Char">
    <w:name w:val="Heading 5 Char"/>
    <w:basedOn w:val="DefaultParagraphFont"/>
    <w:link w:val="Heading5"/>
    <w:uiPriority w:val="9"/>
    <w:semiHidden/>
    <w:rsid w:val="000460FB"/>
    <w:rPr>
      <w:rFonts w:asciiTheme="minorHAnsi" w:eastAsiaTheme="majorEastAsia" w:hAnsiTheme="minorHAnsi" w:cstheme="majorBidi"/>
      <w:color w:val="7B230B" w:themeColor="accent1" w:themeShade="BF"/>
    </w:rPr>
  </w:style>
  <w:style w:type="character" w:customStyle="1" w:styleId="Heading6Char">
    <w:name w:val="Heading 6 Char"/>
    <w:basedOn w:val="DefaultParagraphFont"/>
    <w:link w:val="Heading6"/>
    <w:uiPriority w:val="9"/>
    <w:semiHidden/>
    <w:rsid w:val="000460F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460F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460F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460F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460F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60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60F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60F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460F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460FB"/>
    <w:rPr>
      <w:i/>
      <w:iCs/>
      <w:color w:val="404040" w:themeColor="text1" w:themeTint="BF"/>
    </w:rPr>
  </w:style>
  <w:style w:type="paragraph" w:styleId="ListParagraph">
    <w:name w:val="List Paragraph"/>
    <w:basedOn w:val="Normal"/>
    <w:uiPriority w:val="34"/>
    <w:qFormat/>
    <w:rsid w:val="000460FB"/>
    <w:pPr>
      <w:ind w:left="720"/>
      <w:contextualSpacing/>
    </w:pPr>
  </w:style>
  <w:style w:type="character" w:styleId="IntenseEmphasis">
    <w:name w:val="Intense Emphasis"/>
    <w:basedOn w:val="DefaultParagraphFont"/>
    <w:uiPriority w:val="21"/>
    <w:qFormat/>
    <w:rsid w:val="000460FB"/>
    <w:rPr>
      <w:i/>
      <w:iCs/>
      <w:color w:val="7B230B" w:themeColor="accent1" w:themeShade="BF"/>
    </w:rPr>
  </w:style>
  <w:style w:type="paragraph" w:styleId="IntenseQuote">
    <w:name w:val="Intense Quote"/>
    <w:basedOn w:val="Normal"/>
    <w:next w:val="Normal"/>
    <w:link w:val="IntenseQuoteChar"/>
    <w:uiPriority w:val="30"/>
    <w:qFormat/>
    <w:rsid w:val="000460FB"/>
    <w:pPr>
      <w:pBdr>
        <w:top w:val="single" w:sz="4" w:space="10" w:color="7B230B" w:themeColor="accent1" w:themeShade="BF"/>
        <w:bottom w:val="single" w:sz="4" w:space="10" w:color="7B230B" w:themeColor="accent1" w:themeShade="BF"/>
      </w:pBdr>
      <w:spacing w:before="360" w:after="360"/>
      <w:ind w:left="864" w:right="864"/>
      <w:jc w:val="center"/>
    </w:pPr>
    <w:rPr>
      <w:i/>
      <w:iCs/>
      <w:color w:val="7B230B" w:themeColor="accent1" w:themeShade="BF"/>
    </w:rPr>
  </w:style>
  <w:style w:type="character" w:customStyle="1" w:styleId="IntenseQuoteChar">
    <w:name w:val="Intense Quote Char"/>
    <w:basedOn w:val="DefaultParagraphFont"/>
    <w:link w:val="IntenseQuote"/>
    <w:uiPriority w:val="30"/>
    <w:rsid w:val="000460FB"/>
    <w:rPr>
      <w:i/>
      <w:iCs/>
      <w:color w:val="7B230B" w:themeColor="accent1" w:themeShade="BF"/>
    </w:rPr>
  </w:style>
  <w:style w:type="character" w:styleId="IntenseReference">
    <w:name w:val="Intense Reference"/>
    <w:basedOn w:val="DefaultParagraphFont"/>
    <w:uiPriority w:val="32"/>
    <w:qFormat/>
    <w:rsid w:val="000460FB"/>
    <w:rPr>
      <w:b/>
      <w:bCs/>
      <w:smallCaps/>
      <w:color w:val="7B230B" w:themeColor="accent1" w:themeShade="BF"/>
      <w:spacing w:val="5"/>
    </w:rPr>
  </w:style>
  <w:style w:type="paragraph" w:styleId="Header">
    <w:name w:val="header"/>
    <w:basedOn w:val="Normal"/>
    <w:link w:val="HeaderChar"/>
    <w:uiPriority w:val="99"/>
    <w:unhideWhenUsed/>
    <w:rsid w:val="000460FB"/>
    <w:pPr>
      <w:tabs>
        <w:tab w:val="center" w:pos="4680"/>
        <w:tab w:val="right" w:pos="9360"/>
      </w:tabs>
    </w:pPr>
  </w:style>
  <w:style w:type="character" w:customStyle="1" w:styleId="HeaderChar">
    <w:name w:val="Header Char"/>
    <w:basedOn w:val="DefaultParagraphFont"/>
    <w:link w:val="Header"/>
    <w:uiPriority w:val="99"/>
    <w:rsid w:val="000460FB"/>
  </w:style>
  <w:style w:type="paragraph" w:styleId="Footer">
    <w:name w:val="footer"/>
    <w:basedOn w:val="Normal"/>
    <w:link w:val="FooterChar"/>
    <w:uiPriority w:val="99"/>
    <w:unhideWhenUsed/>
    <w:rsid w:val="000460FB"/>
    <w:pPr>
      <w:tabs>
        <w:tab w:val="center" w:pos="4680"/>
        <w:tab w:val="right" w:pos="9360"/>
      </w:tabs>
    </w:pPr>
  </w:style>
  <w:style w:type="character" w:customStyle="1" w:styleId="FooterChar">
    <w:name w:val="Footer Char"/>
    <w:basedOn w:val="DefaultParagraphFont"/>
    <w:link w:val="Footer"/>
    <w:uiPriority w:val="99"/>
    <w:rsid w:val="000460FB"/>
  </w:style>
  <w:style w:type="table" w:customStyle="1" w:styleId="TableGrid1">
    <w:name w:val="Table Grid1"/>
    <w:basedOn w:val="TableNormal"/>
    <w:next w:val="TableGrid"/>
    <w:uiPriority w:val="39"/>
    <w:rsid w:val="00147B77"/>
    <w:rPr>
      <w:rFonts w:ascii="Calibri" w:hAnsi="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47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7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625</Words>
  <Characters>3630</Characters>
  <Application>Microsoft Office Word</Application>
  <DocSecurity>0</DocSecurity>
  <Lines>30</Lines>
  <Paragraphs>8</Paragraphs>
  <ScaleCrop>false</ScaleCrop>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MarilenaKatocz</dc:creator>
  <cp:keywords/>
  <dc:description/>
  <cp:lastModifiedBy>5.2 POCU GAL TOVISHAT</cp:lastModifiedBy>
  <cp:revision>7</cp:revision>
  <dcterms:created xsi:type="dcterms:W3CDTF">2025-05-15T10:11:00Z</dcterms:created>
  <dcterms:modified xsi:type="dcterms:W3CDTF">2025-06-02T09:36:00Z</dcterms:modified>
</cp:coreProperties>
</file>